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A7" w:rsidRPr="00F42F65" w:rsidRDefault="002702AA">
      <w:pPr>
        <w:jc w:val="left"/>
        <w:rPr>
          <w:rFonts w:ascii="方正小标宋简体" w:eastAsia="方正小标宋简体" w:hAnsiTheme="minorEastAsia" w:cstheme="minorEastAsia"/>
          <w:sz w:val="32"/>
          <w:szCs w:val="32"/>
        </w:rPr>
      </w:pPr>
      <w:r>
        <w:rPr>
          <w:rFonts w:asciiTheme="minorEastAsia" w:hAnsiTheme="minorEastAsia" w:cstheme="minorEastAsia" w:hint="eastAsia"/>
          <w:b/>
          <w:bCs/>
          <w:sz w:val="24"/>
        </w:rPr>
        <w:t>附件</w:t>
      </w:r>
      <w:r w:rsidR="00E72EE7">
        <w:rPr>
          <w:rFonts w:asciiTheme="minorEastAsia" w:hAnsiTheme="minorEastAsia" w:cstheme="minorEastAsia" w:hint="eastAsia"/>
          <w:b/>
          <w:bCs/>
          <w:sz w:val="24"/>
        </w:rPr>
        <w:t>3</w:t>
      </w:r>
      <w:r w:rsidR="00F42F65">
        <w:rPr>
          <w:rFonts w:asciiTheme="minorEastAsia" w:hAnsiTheme="minorEastAsia" w:cstheme="minorEastAsia" w:hint="eastAsia"/>
          <w:b/>
          <w:bCs/>
          <w:sz w:val="24"/>
        </w:rPr>
        <w:t>：</w:t>
      </w:r>
    </w:p>
    <w:p w:rsidR="00F42F65" w:rsidRPr="00F42F65" w:rsidRDefault="00F42F65" w:rsidP="00F42F65">
      <w:pPr>
        <w:jc w:val="center"/>
        <w:rPr>
          <w:rFonts w:ascii="方正小标宋简体" w:eastAsia="方正小标宋简体" w:hAnsiTheme="minorEastAsia" w:cstheme="minorEastAsia"/>
          <w:sz w:val="32"/>
          <w:szCs w:val="32"/>
        </w:rPr>
      </w:pPr>
      <w:r w:rsidRPr="00F42F65">
        <w:rPr>
          <w:rFonts w:ascii="方正小标宋简体" w:eastAsia="方正小标宋简体" w:hAnsiTheme="minorEastAsia" w:cstheme="minorEastAsia" w:hint="eastAsia"/>
          <w:sz w:val="32"/>
          <w:szCs w:val="32"/>
        </w:rPr>
        <w:t>公共资源交易数据统计分析说明表</w:t>
      </w:r>
    </w:p>
    <w:p w:rsidR="002702AA" w:rsidRDefault="004647CF" w:rsidP="004647CF">
      <w:pPr>
        <w:jc w:val="right"/>
        <w:rPr>
          <w:rFonts w:asciiTheme="minorEastAsia" w:hAnsiTheme="minorEastAsia" w:cstheme="minorEastAsia"/>
          <w:b/>
          <w:bCs/>
          <w:sz w:val="24"/>
        </w:rPr>
      </w:pPr>
      <w:r>
        <w:rPr>
          <w:rFonts w:asciiTheme="minorEastAsia" w:hAnsiTheme="minorEastAsia" w:cstheme="minorEastAsia" w:hint="eastAsia"/>
          <w:b/>
          <w:bCs/>
          <w:sz w:val="24"/>
        </w:rPr>
        <w:t>单位：万元</w:t>
      </w:r>
      <w:bookmarkStart w:id="0" w:name="_GoBack"/>
      <w:bookmarkEnd w:id="0"/>
    </w:p>
    <w:tbl>
      <w:tblPr>
        <w:tblStyle w:val="a5"/>
        <w:tblW w:w="14103" w:type="dxa"/>
        <w:tblInd w:w="108" w:type="dxa"/>
        <w:tblLayout w:type="fixed"/>
        <w:tblLook w:val="04A0" w:firstRow="1" w:lastRow="0" w:firstColumn="1" w:lastColumn="0" w:noHBand="0" w:noVBand="1"/>
      </w:tblPr>
      <w:tblGrid>
        <w:gridCol w:w="3994"/>
        <w:gridCol w:w="2021"/>
        <w:gridCol w:w="1348"/>
        <w:gridCol w:w="673"/>
        <w:gridCol w:w="2021"/>
        <w:gridCol w:w="675"/>
        <w:gridCol w:w="1346"/>
        <w:gridCol w:w="2025"/>
      </w:tblGrid>
      <w:tr w:rsidR="00D14AA7" w:rsidTr="002702AA">
        <w:trPr>
          <w:trHeight w:val="1202"/>
        </w:trPr>
        <w:tc>
          <w:tcPr>
            <w:tcW w:w="3994" w:type="dxa"/>
            <w:vMerge w:val="restart"/>
            <w:vAlign w:val="center"/>
          </w:tcPr>
          <w:p w:rsidR="00D14AA7" w:rsidRDefault="003C5608">
            <w:pPr>
              <w:jc w:val="left"/>
              <w:rPr>
                <w:rFonts w:asciiTheme="minorEastAsia" w:hAnsiTheme="minorEastAsia" w:cstheme="minorEastAsia"/>
                <w:b/>
                <w:sz w:val="24"/>
              </w:rPr>
            </w:pPr>
            <w:r>
              <w:rPr>
                <w:rFonts w:hint="eastAsia"/>
                <w:b/>
                <w:sz w:val="24"/>
              </w:rPr>
              <w:t>1.</w:t>
            </w:r>
            <w:r>
              <w:rPr>
                <w:rFonts w:asciiTheme="minorEastAsia" w:hAnsiTheme="minorEastAsia" w:cstheme="minorEastAsia" w:hint="eastAsia"/>
                <w:b/>
                <w:bCs/>
                <w:sz w:val="24"/>
              </w:rPr>
              <w:t>工程建设项目招标投标统计中未进入山西省招标投标公共服务平台的项目交易数、交易额、节约金额</w:t>
            </w:r>
          </w:p>
        </w:tc>
        <w:tc>
          <w:tcPr>
            <w:tcW w:w="3369" w:type="dxa"/>
            <w:gridSpan w:val="2"/>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交易数</w:t>
            </w:r>
          </w:p>
        </w:tc>
        <w:tc>
          <w:tcPr>
            <w:tcW w:w="3369" w:type="dxa"/>
            <w:gridSpan w:val="3"/>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交易额</w:t>
            </w:r>
          </w:p>
        </w:tc>
        <w:tc>
          <w:tcPr>
            <w:tcW w:w="3370" w:type="dxa"/>
            <w:gridSpan w:val="2"/>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节约金额</w:t>
            </w:r>
          </w:p>
        </w:tc>
      </w:tr>
      <w:tr w:rsidR="00D14AA7" w:rsidTr="002702AA">
        <w:trPr>
          <w:trHeight w:val="1202"/>
        </w:trPr>
        <w:tc>
          <w:tcPr>
            <w:tcW w:w="3994" w:type="dxa"/>
            <w:vMerge/>
            <w:vAlign w:val="center"/>
          </w:tcPr>
          <w:p w:rsidR="00D14AA7" w:rsidRDefault="00D14AA7">
            <w:pPr>
              <w:jc w:val="left"/>
            </w:pPr>
          </w:p>
        </w:tc>
        <w:tc>
          <w:tcPr>
            <w:tcW w:w="3369" w:type="dxa"/>
            <w:gridSpan w:val="2"/>
            <w:vAlign w:val="center"/>
          </w:tcPr>
          <w:p w:rsidR="00D14AA7" w:rsidRDefault="00D14AA7">
            <w:pPr>
              <w:jc w:val="left"/>
            </w:pPr>
          </w:p>
        </w:tc>
        <w:tc>
          <w:tcPr>
            <w:tcW w:w="3369" w:type="dxa"/>
            <w:gridSpan w:val="3"/>
            <w:vAlign w:val="center"/>
          </w:tcPr>
          <w:p w:rsidR="00D14AA7" w:rsidRDefault="00D14AA7">
            <w:pPr>
              <w:jc w:val="left"/>
            </w:pPr>
          </w:p>
        </w:tc>
        <w:tc>
          <w:tcPr>
            <w:tcW w:w="3370" w:type="dxa"/>
            <w:gridSpan w:val="2"/>
            <w:vAlign w:val="center"/>
          </w:tcPr>
          <w:p w:rsidR="00D14AA7" w:rsidRDefault="00D14AA7">
            <w:pPr>
              <w:jc w:val="left"/>
              <w:rPr>
                <w:rFonts w:asciiTheme="minorEastAsia" w:hAnsiTheme="minorEastAsia" w:cstheme="minorEastAsia"/>
                <w:sz w:val="24"/>
              </w:rPr>
            </w:pPr>
          </w:p>
        </w:tc>
      </w:tr>
      <w:tr w:rsidR="00D14AA7" w:rsidTr="002702AA">
        <w:trPr>
          <w:trHeight w:val="800"/>
        </w:trPr>
        <w:tc>
          <w:tcPr>
            <w:tcW w:w="3994" w:type="dxa"/>
            <w:vMerge w:val="restart"/>
            <w:vAlign w:val="center"/>
          </w:tcPr>
          <w:p w:rsidR="00D14AA7" w:rsidRDefault="003C5608">
            <w:pPr>
              <w:jc w:val="left"/>
              <w:rPr>
                <w:rFonts w:asciiTheme="minorEastAsia" w:hAnsiTheme="minorEastAsia" w:cstheme="minorEastAsia"/>
                <w:b/>
                <w:sz w:val="24"/>
              </w:rPr>
            </w:pPr>
            <w:r>
              <w:rPr>
                <w:rFonts w:hint="eastAsia"/>
                <w:b/>
                <w:sz w:val="24"/>
              </w:rPr>
              <w:t>2.</w:t>
            </w:r>
            <w:r>
              <w:rPr>
                <w:rFonts w:hint="eastAsia"/>
                <w:b/>
                <w:sz w:val="24"/>
              </w:rPr>
              <w:t>其他公共资源交易统计中分类型的交易数、交易额、增值金额、节约金额</w:t>
            </w:r>
          </w:p>
        </w:tc>
        <w:tc>
          <w:tcPr>
            <w:tcW w:w="2021" w:type="dxa"/>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项目类型</w:t>
            </w:r>
          </w:p>
        </w:tc>
        <w:tc>
          <w:tcPr>
            <w:tcW w:w="2021" w:type="dxa"/>
            <w:gridSpan w:val="2"/>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交易数</w:t>
            </w:r>
          </w:p>
        </w:tc>
        <w:tc>
          <w:tcPr>
            <w:tcW w:w="2021" w:type="dxa"/>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交易额</w:t>
            </w:r>
          </w:p>
        </w:tc>
        <w:tc>
          <w:tcPr>
            <w:tcW w:w="2021" w:type="dxa"/>
            <w:gridSpan w:val="2"/>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增值金额</w:t>
            </w:r>
          </w:p>
        </w:tc>
        <w:tc>
          <w:tcPr>
            <w:tcW w:w="2025" w:type="dxa"/>
            <w:vAlign w:val="center"/>
          </w:tcPr>
          <w:p w:rsidR="00D14AA7" w:rsidRDefault="003C5608">
            <w:pPr>
              <w:jc w:val="center"/>
              <w:rPr>
                <w:rFonts w:asciiTheme="minorEastAsia" w:hAnsiTheme="minorEastAsia" w:cstheme="minorEastAsia"/>
                <w:sz w:val="24"/>
              </w:rPr>
            </w:pPr>
            <w:r>
              <w:rPr>
                <w:rFonts w:asciiTheme="minorEastAsia" w:hAnsiTheme="minorEastAsia" w:cstheme="minorEastAsia" w:hint="eastAsia"/>
                <w:sz w:val="24"/>
              </w:rPr>
              <w:t>节约金额</w:t>
            </w:r>
          </w:p>
        </w:tc>
      </w:tr>
      <w:tr w:rsidR="00D14AA7" w:rsidTr="002702AA">
        <w:trPr>
          <w:trHeight w:val="800"/>
        </w:trPr>
        <w:tc>
          <w:tcPr>
            <w:tcW w:w="3994" w:type="dxa"/>
            <w:vMerge/>
            <w:vAlign w:val="center"/>
          </w:tcPr>
          <w:p w:rsidR="00D14AA7" w:rsidRDefault="00D14AA7">
            <w:pPr>
              <w:jc w:val="left"/>
            </w:pPr>
          </w:p>
        </w:tc>
        <w:tc>
          <w:tcPr>
            <w:tcW w:w="2021" w:type="dxa"/>
          </w:tcPr>
          <w:p w:rsidR="00D14AA7" w:rsidRDefault="00D14AA7">
            <w:pPr>
              <w:jc w:val="left"/>
            </w:pPr>
          </w:p>
        </w:tc>
        <w:tc>
          <w:tcPr>
            <w:tcW w:w="2021" w:type="dxa"/>
            <w:gridSpan w:val="2"/>
          </w:tcPr>
          <w:p w:rsidR="00D14AA7" w:rsidRDefault="00D14AA7">
            <w:pPr>
              <w:jc w:val="left"/>
            </w:pPr>
          </w:p>
        </w:tc>
        <w:tc>
          <w:tcPr>
            <w:tcW w:w="2021" w:type="dxa"/>
          </w:tcPr>
          <w:p w:rsidR="00D14AA7" w:rsidRDefault="00D14AA7">
            <w:pPr>
              <w:jc w:val="left"/>
            </w:pPr>
          </w:p>
        </w:tc>
        <w:tc>
          <w:tcPr>
            <w:tcW w:w="2021" w:type="dxa"/>
            <w:gridSpan w:val="2"/>
          </w:tcPr>
          <w:p w:rsidR="00D14AA7" w:rsidRDefault="00D14AA7">
            <w:pPr>
              <w:jc w:val="left"/>
            </w:pPr>
          </w:p>
        </w:tc>
        <w:tc>
          <w:tcPr>
            <w:tcW w:w="2025" w:type="dxa"/>
          </w:tcPr>
          <w:p w:rsidR="00D14AA7" w:rsidRDefault="00D14AA7">
            <w:pPr>
              <w:jc w:val="left"/>
              <w:rPr>
                <w:rFonts w:asciiTheme="minorEastAsia" w:hAnsiTheme="minorEastAsia" w:cstheme="minorEastAsia"/>
                <w:sz w:val="24"/>
              </w:rPr>
            </w:pPr>
          </w:p>
        </w:tc>
      </w:tr>
      <w:tr w:rsidR="00D14AA7" w:rsidTr="002702AA">
        <w:trPr>
          <w:trHeight w:val="800"/>
        </w:trPr>
        <w:tc>
          <w:tcPr>
            <w:tcW w:w="3994" w:type="dxa"/>
            <w:vMerge/>
            <w:vAlign w:val="center"/>
          </w:tcPr>
          <w:p w:rsidR="00D14AA7" w:rsidRDefault="00D14AA7">
            <w:pPr>
              <w:jc w:val="left"/>
              <w:rPr>
                <w:rFonts w:asciiTheme="minorEastAsia" w:hAnsiTheme="minorEastAsia" w:cstheme="minorEastAsia"/>
                <w:sz w:val="24"/>
              </w:rPr>
            </w:pPr>
          </w:p>
        </w:tc>
        <w:tc>
          <w:tcPr>
            <w:tcW w:w="2021" w:type="dxa"/>
          </w:tcPr>
          <w:p w:rsidR="00D14AA7" w:rsidRDefault="00D14AA7">
            <w:pPr>
              <w:jc w:val="left"/>
              <w:rPr>
                <w:rFonts w:asciiTheme="minorEastAsia" w:hAnsiTheme="minorEastAsia" w:cstheme="minorEastAsia"/>
                <w:sz w:val="24"/>
              </w:rPr>
            </w:pPr>
          </w:p>
        </w:tc>
        <w:tc>
          <w:tcPr>
            <w:tcW w:w="2021" w:type="dxa"/>
            <w:gridSpan w:val="2"/>
          </w:tcPr>
          <w:p w:rsidR="00D14AA7" w:rsidRDefault="00D14AA7">
            <w:pPr>
              <w:jc w:val="left"/>
              <w:rPr>
                <w:rFonts w:asciiTheme="minorEastAsia" w:hAnsiTheme="minorEastAsia" w:cstheme="minorEastAsia"/>
                <w:sz w:val="24"/>
              </w:rPr>
            </w:pPr>
          </w:p>
        </w:tc>
        <w:tc>
          <w:tcPr>
            <w:tcW w:w="2021" w:type="dxa"/>
          </w:tcPr>
          <w:p w:rsidR="00D14AA7" w:rsidRDefault="00D14AA7">
            <w:pPr>
              <w:jc w:val="left"/>
              <w:rPr>
                <w:rFonts w:asciiTheme="minorEastAsia" w:hAnsiTheme="minorEastAsia" w:cstheme="minorEastAsia"/>
                <w:sz w:val="24"/>
              </w:rPr>
            </w:pPr>
          </w:p>
        </w:tc>
        <w:tc>
          <w:tcPr>
            <w:tcW w:w="2021" w:type="dxa"/>
            <w:gridSpan w:val="2"/>
          </w:tcPr>
          <w:p w:rsidR="00D14AA7" w:rsidRDefault="00D14AA7">
            <w:pPr>
              <w:jc w:val="left"/>
              <w:rPr>
                <w:rFonts w:asciiTheme="minorEastAsia" w:hAnsiTheme="minorEastAsia" w:cstheme="minorEastAsia"/>
                <w:sz w:val="24"/>
              </w:rPr>
            </w:pPr>
          </w:p>
        </w:tc>
        <w:tc>
          <w:tcPr>
            <w:tcW w:w="2025" w:type="dxa"/>
          </w:tcPr>
          <w:p w:rsidR="00D14AA7" w:rsidRDefault="00D14AA7">
            <w:pPr>
              <w:jc w:val="left"/>
              <w:rPr>
                <w:rFonts w:asciiTheme="minorEastAsia" w:hAnsiTheme="minorEastAsia" w:cstheme="minorEastAsia"/>
                <w:sz w:val="24"/>
              </w:rPr>
            </w:pPr>
          </w:p>
        </w:tc>
      </w:tr>
    </w:tbl>
    <w:p w:rsidR="00D14AA7" w:rsidRDefault="00D14AA7">
      <w:pPr>
        <w:jc w:val="left"/>
        <w:rPr>
          <w:rFonts w:asciiTheme="minorEastAsia" w:hAnsiTheme="minorEastAsia" w:cstheme="minorEastAsia"/>
          <w:sz w:val="24"/>
        </w:rPr>
      </w:pPr>
    </w:p>
    <w:p w:rsidR="00D14AA7" w:rsidRDefault="003B5A55">
      <w:pPr>
        <w:jc w:val="left"/>
        <w:rPr>
          <w:rFonts w:asciiTheme="minorEastAsia" w:hAnsiTheme="minorEastAsia" w:cstheme="minorEastAsia"/>
          <w:sz w:val="24"/>
        </w:rPr>
      </w:pPr>
      <w:r w:rsidRPr="003B5A55">
        <w:rPr>
          <w:rFonts w:asciiTheme="minorEastAsia" w:hAnsiTheme="minorEastAsia" w:cstheme="minorEastAsia" w:hint="eastAsia"/>
          <w:sz w:val="24"/>
        </w:rPr>
        <w:t>备注：工程建设项目招标投标统计需注意在附件一中填报所涉所有项目，在附件三中单独填报因未同山西省招标投标公共服务平台对接而未进入平台统计的项目情况；其他公共资源交易统计需注意在附件三中分项目类型进行统计。</w:t>
      </w:r>
    </w:p>
    <w:sectPr w:rsidR="00D14AA7">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13A" w:rsidRDefault="005F113A">
      <w:r>
        <w:separator/>
      </w:r>
    </w:p>
  </w:endnote>
  <w:endnote w:type="continuationSeparator" w:id="0">
    <w:p w:rsidR="005F113A" w:rsidRDefault="005F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A7" w:rsidRDefault="003C560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4AA7" w:rsidRDefault="003C5608">
                          <w:pPr>
                            <w:pStyle w:val="a3"/>
                          </w:pPr>
                          <w:r>
                            <w:rPr>
                              <w:rFonts w:ascii="仿宋" w:eastAsia="仿宋" w:hAnsi="仿宋" w:cs="仿宋" w:hint="eastAsia"/>
                              <w:sz w:val="24"/>
                            </w:rPr>
                            <w:fldChar w:fldCharType="begin"/>
                          </w:r>
                          <w:r>
                            <w:rPr>
                              <w:rFonts w:ascii="仿宋" w:eastAsia="仿宋" w:hAnsi="仿宋" w:cs="仿宋" w:hint="eastAsia"/>
                              <w:sz w:val="24"/>
                            </w:rPr>
                            <w:instrText xml:space="preserve"> PAGE  \* MERGEFORMAT </w:instrText>
                          </w:r>
                          <w:r>
                            <w:rPr>
                              <w:rFonts w:ascii="仿宋" w:eastAsia="仿宋" w:hAnsi="仿宋" w:cs="仿宋" w:hint="eastAsia"/>
                              <w:sz w:val="24"/>
                            </w:rPr>
                            <w:fldChar w:fldCharType="separate"/>
                          </w:r>
                          <w:r>
                            <w:rPr>
                              <w:rFonts w:ascii="仿宋" w:eastAsia="仿宋" w:hAnsi="仿宋" w:cs="仿宋" w:hint="eastAsia"/>
                              <w:sz w:val="24"/>
                            </w:rPr>
                            <w:t>1</w:t>
                          </w:r>
                          <w:r>
                            <w:rPr>
                              <w:rFonts w:ascii="仿宋" w:eastAsia="仿宋" w:hAnsi="仿宋" w:cs="仿宋"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14AA7" w:rsidRDefault="003C5608">
                    <w:pPr>
                      <w:pStyle w:val="a3"/>
                    </w:pPr>
                    <w:r>
                      <w:rPr>
                        <w:rFonts w:ascii="仿宋" w:eastAsia="仿宋" w:hAnsi="仿宋" w:cs="仿宋" w:hint="eastAsia"/>
                        <w:sz w:val="24"/>
                      </w:rPr>
                      <w:fldChar w:fldCharType="begin"/>
                    </w:r>
                    <w:r>
                      <w:rPr>
                        <w:rFonts w:ascii="仿宋" w:eastAsia="仿宋" w:hAnsi="仿宋" w:cs="仿宋" w:hint="eastAsia"/>
                        <w:sz w:val="24"/>
                      </w:rPr>
                      <w:instrText xml:space="preserve"> PAGE  \* MERGEFORMAT </w:instrText>
                    </w:r>
                    <w:r>
                      <w:rPr>
                        <w:rFonts w:ascii="仿宋" w:eastAsia="仿宋" w:hAnsi="仿宋" w:cs="仿宋" w:hint="eastAsia"/>
                        <w:sz w:val="24"/>
                      </w:rPr>
                      <w:fldChar w:fldCharType="separate"/>
                    </w:r>
                    <w:r>
                      <w:rPr>
                        <w:rFonts w:ascii="仿宋" w:eastAsia="仿宋" w:hAnsi="仿宋" w:cs="仿宋" w:hint="eastAsia"/>
                        <w:sz w:val="24"/>
                      </w:rPr>
                      <w:t>1</w:t>
                    </w:r>
                    <w:r>
                      <w:rPr>
                        <w:rFonts w:ascii="仿宋" w:eastAsia="仿宋" w:hAnsi="仿宋" w:cs="仿宋"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13A" w:rsidRDefault="005F113A">
      <w:r>
        <w:separator/>
      </w:r>
    </w:p>
  </w:footnote>
  <w:footnote w:type="continuationSeparator" w:id="0">
    <w:p w:rsidR="005F113A" w:rsidRDefault="005F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24090A"/>
    <w:rsid w:val="001C2D53"/>
    <w:rsid w:val="002702AA"/>
    <w:rsid w:val="003B5A55"/>
    <w:rsid w:val="003C5608"/>
    <w:rsid w:val="004647CF"/>
    <w:rsid w:val="005F113A"/>
    <w:rsid w:val="0087351A"/>
    <w:rsid w:val="00D14AA7"/>
    <w:rsid w:val="00E72EE7"/>
    <w:rsid w:val="00EA7F6F"/>
    <w:rsid w:val="00EB0BA5"/>
    <w:rsid w:val="00F42F65"/>
    <w:rsid w:val="0224090A"/>
    <w:rsid w:val="0B88722C"/>
    <w:rsid w:val="0DB03F04"/>
    <w:rsid w:val="15A94920"/>
    <w:rsid w:val="1895236F"/>
    <w:rsid w:val="1DB6367C"/>
    <w:rsid w:val="1FED1BB9"/>
    <w:rsid w:val="222500CF"/>
    <w:rsid w:val="31077D4C"/>
    <w:rsid w:val="34E94584"/>
    <w:rsid w:val="37D565EC"/>
    <w:rsid w:val="37DA31AA"/>
    <w:rsid w:val="3D19282D"/>
    <w:rsid w:val="3D3501AA"/>
    <w:rsid w:val="3E5632C4"/>
    <w:rsid w:val="42296B6D"/>
    <w:rsid w:val="4E243C78"/>
    <w:rsid w:val="50F323DA"/>
    <w:rsid w:val="54523217"/>
    <w:rsid w:val="5453643C"/>
    <w:rsid w:val="55C233FF"/>
    <w:rsid w:val="5EA73449"/>
    <w:rsid w:val="66D43493"/>
    <w:rsid w:val="675C1871"/>
    <w:rsid w:val="69E47D98"/>
    <w:rsid w:val="6B88143C"/>
    <w:rsid w:val="6CD9069C"/>
    <w:rsid w:val="73515B1A"/>
    <w:rsid w:val="7A06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8C877"/>
  <w15:docId w15:val="{1B2F0865-5B7F-4278-AC2D-5253F6D0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gaoliping</dc:creator>
  <cp:lastModifiedBy>sun</cp:lastModifiedBy>
  <cp:revision>7</cp:revision>
  <cp:lastPrinted>2019-06-19T08:32:00Z</cp:lastPrinted>
  <dcterms:created xsi:type="dcterms:W3CDTF">2019-06-10T08:20:00Z</dcterms:created>
  <dcterms:modified xsi:type="dcterms:W3CDTF">2019-07-01T09:02:00Z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