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2F7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朔州市2025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年行政事业单位物业管理服务框架协议（市县区域联动）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采购需求（征求意见稿）</w:t>
      </w:r>
    </w:p>
    <w:p w14:paraId="754AB17E">
      <w:pPr>
        <w:numPr>
          <w:ilvl w:val="0"/>
          <w:numId w:val="0"/>
        </w:numPr>
        <w:jc w:val="left"/>
        <w:rPr>
          <w:rStyle w:val="15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/>
        </w:rPr>
        <w:t>一、供应商的资格条件</w:t>
      </w:r>
    </w:p>
    <w:p w14:paraId="4EA8B482">
      <w:pPr>
        <w:bidi w:val="0"/>
        <w:ind w:firstLine="640" w:firstLineChars="200"/>
        <w:rPr>
          <w:rStyle w:val="15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</w:rPr>
        <w:t>1.满足《中华人民共和国政府采购法》第二十二条规定：</w:t>
      </w:r>
    </w:p>
    <w:p w14:paraId="0ACF39C0">
      <w:pPr>
        <w:bidi w:val="0"/>
        <w:ind w:firstLine="640" w:firstLineChars="200"/>
        <w:rPr>
          <w:rStyle w:val="15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</w:rPr>
        <w:t>2.落实政府采购政策需满足的资格要求：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执行政府采购促进中小企业发展的相关政策，本项目不属于专门面向中小企业采购。 </w:t>
      </w:r>
    </w:p>
    <w:p w14:paraId="3B2B8F56">
      <w:pPr>
        <w:bidi w:val="0"/>
        <w:ind w:firstLine="640" w:firstLineChars="200"/>
        <w:rPr>
          <w:rStyle w:val="15"/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</w:rPr>
        <w:t>3.本项目的特定资格要求：</w:t>
      </w:r>
      <w:r>
        <w:rPr>
          <w:rStyle w:val="1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p w14:paraId="6E2B71C4">
      <w:pPr>
        <w:jc w:val="left"/>
        <w:outlineLvl w:val="1"/>
        <w:rPr>
          <w:rStyle w:val="15"/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Style w:val="15"/>
          <w:rFonts w:hint="eastAsia" w:ascii="仿宋" w:hAnsi="仿宋" w:eastAsia="仿宋" w:cs="仿宋"/>
          <w:b/>
          <w:sz w:val="32"/>
          <w:szCs w:val="32"/>
          <w:lang w:val="en-US" w:eastAsia="zh-CN"/>
        </w:rPr>
        <w:t>二、采购说明</w:t>
      </w:r>
    </w:p>
    <w:p w14:paraId="00064DA8">
      <w:pPr>
        <w:bidi w:val="0"/>
        <w:ind w:firstLine="640" w:firstLineChars="200"/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</w:rPr>
        <w:t>内容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包括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物业综合服务费、环境卫生保洁服务费、房屋及公共设施设备维修维护费、楼内门岗值守、监控室、消控室值守、其他等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内容，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相关最高限价执行《朔州市直属机关事务服务中心关于印发〈朔州市市直机关办公用房物业费预算编制规范和预算编制标准（试行）〉的通知》（朔财预〔2024〕29 号）。</w:t>
      </w:r>
    </w:p>
    <w:p w14:paraId="481EFA34">
      <w:pPr>
        <w:bidi w:val="0"/>
        <w:ind w:firstLine="640" w:firstLineChars="200"/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本项目在最高限制单价表的基础上按单价报价。服务对象根据自身需求按照分项自行选择。</w:t>
      </w:r>
    </w:p>
    <w:p w14:paraId="7AFB029E">
      <w:pPr>
        <w:bidi w:val="0"/>
        <w:ind w:firstLine="560" w:firstLineChars="200"/>
        <w:jc w:val="center"/>
        <w:rPr>
          <w:rStyle w:val="15"/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最高限制单价表</w:t>
      </w:r>
    </w:p>
    <w:tbl>
      <w:tblPr>
        <w:tblStyle w:val="8"/>
        <w:tblpPr w:leftFromText="180" w:rightFromText="180" w:vertAnchor="text" w:horzAnchor="page" w:tblpX="1803" w:tblpY="537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87"/>
        <w:gridCol w:w="2625"/>
        <w:gridCol w:w="3693"/>
      </w:tblGrid>
      <w:tr w14:paraId="115E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51" w:type="dxa"/>
          </w:tcPr>
          <w:p w14:paraId="721B8826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7" w:type="dxa"/>
          </w:tcPr>
          <w:p w14:paraId="3E7F8551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分项名称</w:t>
            </w:r>
          </w:p>
        </w:tc>
        <w:tc>
          <w:tcPr>
            <w:tcW w:w="2625" w:type="dxa"/>
          </w:tcPr>
          <w:p w14:paraId="18687E5E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物业费最高限额标准</w:t>
            </w:r>
          </w:p>
        </w:tc>
        <w:tc>
          <w:tcPr>
            <w:tcW w:w="3693" w:type="dxa"/>
          </w:tcPr>
          <w:p w14:paraId="7884AC1C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eastAsia="zh-CN"/>
              </w:rPr>
              <w:t>对应描述</w:t>
            </w:r>
          </w:p>
        </w:tc>
      </w:tr>
      <w:tr w14:paraId="4596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0FCF16C0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7" w:type="dxa"/>
            <w:vAlign w:val="center"/>
          </w:tcPr>
          <w:p w14:paraId="246949D9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物业综合服务</w:t>
            </w:r>
          </w:p>
        </w:tc>
        <w:tc>
          <w:tcPr>
            <w:tcW w:w="2625" w:type="dxa"/>
            <w:vAlign w:val="center"/>
          </w:tcPr>
          <w:p w14:paraId="5BB68D3D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每平方米每年13元</w:t>
            </w:r>
          </w:p>
        </w:tc>
        <w:tc>
          <w:tcPr>
            <w:tcW w:w="3693" w:type="dxa"/>
            <w:vAlign w:val="top"/>
          </w:tcPr>
          <w:p w14:paraId="1FFD3FA9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费用构成说明：物业综合服务费主要指物业管理人员费用、日常办公费用，安保人员日常巡查、公共秩序维护、突发事件处理，树木、花草、绿地的绿化管理服务所需等综合性费用;</w:t>
            </w:r>
          </w:p>
          <w:p w14:paraId="0B017B6E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备注：建筑面积（含秩序维护及安防管理服务、绿化养护服务</w:t>
            </w:r>
            <w:r>
              <w:rPr>
                <w:rFonts w:hint="eastAsia" w:ascii="仿宋" w:hAnsi="仿宋" w:eastAsia="仿宋" w:cs="仿宋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 w14:paraId="3652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B1BDAAB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7" w:type="dxa"/>
            <w:vAlign w:val="center"/>
          </w:tcPr>
          <w:p w14:paraId="37A537F1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环境卫生保洁服务</w:t>
            </w:r>
          </w:p>
        </w:tc>
        <w:tc>
          <w:tcPr>
            <w:tcW w:w="2625" w:type="dxa"/>
            <w:vAlign w:val="center"/>
          </w:tcPr>
          <w:p w14:paraId="42D9C1D6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每平方米每年12元</w:t>
            </w:r>
          </w:p>
        </w:tc>
        <w:tc>
          <w:tcPr>
            <w:tcW w:w="3693" w:type="dxa"/>
            <w:vAlign w:val="top"/>
          </w:tcPr>
          <w:p w14:paraId="37387A90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费用构成说明：环境卫生保洁服务费主要指办公楼公共部位、卫生间、办公区域道路及停车场（库）等公共场地的卫生保洁工作所需人员费用、耗材费用和清掏清运费用等;</w:t>
            </w:r>
          </w:p>
          <w:p w14:paraId="54927F79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备注：建筑面</w:t>
            </w:r>
            <w:r>
              <w:rPr>
                <w:rFonts w:hint="eastAsia" w:ascii="仿宋" w:hAnsi="仿宋" w:eastAsia="仿宋" w:cs="仿宋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积。</w:t>
            </w:r>
          </w:p>
        </w:tc>
      </w:tr>
      <w:tr w14:paraId="16C1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751" w:type="dxa"/>
            <w:vAlign w:val="center"/>
          </w:tcPr>
          <w:p w14:paraId="7F152CDB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7" w:type="dxa"/>
            <w:vAlign w:val="center"/>
          </w:tcPr>
          <w:p w14:paraId="5B2B221F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房屋及公共设施设备维修维护</w:t>
            </w:r>
          </w:p>
        </w:tc>
        <w:tc>
          <w:tcPr>
            <w:tcW w:w="2625" w:type="dxa"/>
            <w:vAlign w:val="center"/>
          </w:tcPr>
          <w:p w14:paraId="53F4BE9C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每平方米每年15元</w:t>
            </w:r>
          </w:p>
        </w:tc>
        <w:tc>
          <w:tcPr>
            <w:tcW w:w="3693" w:type="dxa"/>
            <w:vAlign w:val="top"/>
          </w:tcPr>
          <w:p w14:paraId="35FB596E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费用构成说明：房屋及公共设施设备维修维护费主要指房屋日常维修维护、给排水设备维修维护、供配电及照明系统维修维护、供暖设备维修维护、消防系统维修维护、弱电系统维修维护、配电室等工作所需人员费用和耗材费用（单件不超过 500 元）;</w:t>
            </w:r>
          </w:p>
          <w:p w14:paraId="7B2A5DC7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备注：建筑面积，含单件500 元以下维修维护材</w:t>
            </w:r>
            <w:r>
              <w:rPr>
                <w:rFonts w:hint="eastAsia" w:ascii="仿宋" w:hAnsi="仿宋" w:eastAsia="仿宋" w:cs="仿宋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料。</w:t>
            </w:r>
          </w:p>
        </w:tc>
      </w:tr>
      <w:tr w14:paraId="6815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D9DE3BC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en-US"/>
              </w:rPr>
              <w:t>4</w:t>
            </w:r>
          </w:p>
        </w:tc>
        <w:tc>
          <w:tcPr>
            <w:tcW w:w="1287" w:type="dxa"/>
            <w:vAlign w:val="center"/>
          </w:tcPr>
          <w:p w14:paraId="213280A6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楼内门岗值守</w:t>
            </w:r>
          </w:p>
        </w:tc>
        <w:tc>
          <w:tcPr>
            <w:tcW w:w="2625" w:type="dxa"/>
            <w:vAlign w:val="center"/>
          </w:tcPr>
          <w:p w14:paraId="67E61FDE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1个出口按照2人安排，1个出口以上的，每增加1个增加2人，每人每年3.5万元</w:t>
            </w:r>
          </w:p>
        </w:tc>
        <w:tc>
          <w:tcPr>
            <w:tcW w:w="3693" w:type="dxa"/>
            <w:vAlign w:val="center"/>
          </w:tcPr>
          <w:p w14:paraId="6A436EC8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费用构成说明：楼内门岗值守主要指公共秩序维护、突发事件处理、人员出入管理、车辆出入管理等工作所需人员费用、耗材费用等;</w:t>
            </w:r>
          </w:p>
          <w:p w14:paraId="3CE7F591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备注：主要用房面向公共道路的出口数</w:t>
            </w:r>
            <w:r>
              <w:rPr>
                <w:rFonts w:hint="eastAsia" w:ascii="仿宋" w:hAnsi="仿宋" w:eastAsia="仿宋" w:cs="仿宋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CD5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51" w:type="dxa"/>
            <w:vAlign w:val="center"/>
          </w:tcPr>
          <w:p w14:paraId="5AA3F9B5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en-US"/>
              </w:rPr>
              <w:t>5</w:t>
            </w:r>
          </w:p>
        </w:tc>
        <w:tc>
          <w:tcPr>
            <w:tcW w:w="1287" w:type="dxa"/>
            <w:vAlign w:val="center"/>
          </w:tcPr>
          <w:p w14:paraId="042C48F9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监控室、消控室值守等</w:t>
            </w:r>
          </w:p>
        </w:tc>
        <w:tc>
          <w:tcPr>
            <w:tcW w:w="2625" w:type="dxa"/>
            <w:vAlign w:val="center"/>
          </w:tcPr>
          <w:p w14:paraId="0AEB5796">
            <w:pPr>
              <w:widowControl/>
              <w:kinsoku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正常配置2人，每人每年3.5万元</w:t>
            </w:r>
          </w:p>
        </w:tc>
        <w:tc>
          <w:tcPr>
            <w:tcW w:w="3693" w:type="dxa"/>
            <w:vAlign w:val="center"/>
          </w:tcPr>
          <w:p w14:paraId="4DEA1CDF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费用构成说明：监控室、消控室值守等主要指日常监控巡查、突发事件处理、演练费用等工作所需人员费用、耗材费用等;</w:t>
            </w:r>
          </w:p>
        </w:tc>
      </w:tr>
    </w:tbl>
    <w:p w14:paraId="74A47066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en-US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zh-CN"/>
        </w:rPr>
        <w:t>服务标准：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en-US"/>
        </w:rPr>
        <w:t xml:space="preserve">采购人参照《物业管理服务政府采购需求标准（办公场所类）（试行）》执行，采购人可以对本需求标准所列的服务内容及服务标准作必要的调整，也可以对相关指标提出更高要求，但不得超出实际需要。采购需求的所有内容，应当包含在合同文本中。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en-US"/>
        </w:rPr>
        <w:t>注：服务标准涉及的国家标准有更新的，执行国家最新标准。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zh-CN"/>
        </w:rPr>
        <w:t>）</w:t>
      </w:r>
    </w:p>
    <w:p w14:paraId="6DFF085D">
      <w:pPr>
        <w:spacing w:line="360" w:lineRule="auto"/>
        <w:ind w:firstLine="668" w:firstLineChars="200"/>
        <w:jc w:val="both"/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技术保障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zh-CN"/>
        </w:rPr>
        <w:t>供应商所配备的服务设备、技术保障能力须符合国家及行业的相关标准。（注：采购人已无偿提供的作业设备，不在此重复要求。）</w:t>
      </w:r>
    </w:p>
    <w:p w14:paraId="315CA826">
      <w:pPr>
        <w:spacing w:line="360" w:lineRule="auto"/>
        <w:ind w:firstLine="668" w:firstLineChars="200"/>
        <w:jc w:val="both"/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所涉及货物质量的标准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en-US"/>
        </w:rPr>
        <w:t>物业服务涉及的零星维修材料、低值易耗品、苗木、客耗品等产品质量必须符合国家及行业制订公布的各项相关标准。</w:t>
      </w:r>
    </w:p>
    <w:p w14:paraId="5614CB69">
      <w:pPr>
        <w:spacing w:line="360" w:lineRule="auto"/>
        <w:ind w:firstLine="668" w:firstLineChars="200"/>
        <w:jc w:val="both"/>
        <w:rPr>
          <w:rFonts w:hint="eastAsia" w:ascii="仿宋" w:hAnsi="仿宋" w:eastAsia="仿宋" w:cs="仿宋"/>
          <w:snapToGrid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其他服务要求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napToGrid/>
          <w:color w:val="000000" w:themeColor="text1"/>
          <w:kern w:val="2"/>
          <w:sz w:val="32"/>
          <w:szCs w:val="32"/>
          <w:vertAlign w:val="baseline"/>
          <w:lang w:val="en-US" w:eastAsia="en-US"/>
          <w14:textFill>
            <w14:solidFill>
              <w14:schemeClr w14:val="tx1"/>
            </w14:solidFill>
          </w14:textFill>
        </w:rPr>
        <w:t>供应商须承诺第二阶段的服务人员年龄、学历、工作经验应当与所在岗位能力要求相匹配，到岗前应当经过必要的岗前培训以达到岗位能力要求，国家、行业规定应当取得职业资格证书或特种作业证书的，应当按规定持证上岗。</w:t>
      </w:r>
    </w:p>
    <w:p w14:paraId="3729F0D3">
      <w:pPr>
        <w:spacing w:line="360" w:lineRule="auto"/>
        <w:jc w:val="both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NjY3ZTg5OTE1YzM4NDBmYTQzYmNhOGE2NWE0MzIifQ=="/>
  </w:docVars>
  <w:rsids>
    <w:rsidRoot w:val="00110A82"/>
    <w:rsid w:val="00006F91"/>
    <w:rsid w:val="000F521E"/>
    <w:rsid w:val="00110A82"/>
    <w:rsid w:val="00116881"/>
    <w:rsid w:val="00166178"/>
    <w:rsid w:val="001F40AB"/>
    <w:rsid w:val="002D16CC"/>
    <w:rsid w:val="0034637F"/>
    <w:rsid w:val="00355CCB"/>
    <w:rsid w:val="003B2655"/>
    <w:rsid w:val="003B3818"/>
    <w:rsid w:val="003F5389"/>
    <w:rsid w:val="00520427"/>
    <w:rsid w:val="005623A5"/>
    <w:rsid w:val="00602DC7"/>
    <w:rsid w:val="006549FE"/>
    <w:rsid w:val="006D1739"/>
    <w:rsid w:val="006D7736"/>
    <w:rsid w:val="00794AE1"/>
    <w:rsid w:val="007A4CC5"/>
    <w:rsid w:val="00812FCA"/>
    <w:rsid w:val="0084737D"/>
    <w:rsid w:val="008F5CDC"/>
    <w:rsid w:val="00936978"/>
    <w:rsid w:val="00AA49E3"/>
    <w:rsid w:val="0224187C"/>
    <w:rsid w:val="032D650E"/>
    <w:rsid w:val="0442248D"/>
    <w:rsid w:val="04444DA5"/>
    <w:rsid w:val="04C3537C"/>
    <w:rsid w:val="065344DE"/>
    <w:rsid w:val="084F4A76"/>
    <w:rsid w:val="0ABD3DBD"/>
    <w:rsid w:val="0C923042"/>
    <w:rsid w:val="0D305579"/>
    <w:rsid w:val="107A42C2"/>
    <w:rsid w:val="111E1B8C"/>
    <w:rsid w:val="113413B0"/>
    <w:rsid w:val="11B36778"/>
    <w:rsid w:val="12F6691D"/>
    <w:rsid w:val="149503B7"/>
    <w:rsid w:val="14DC3AEA"/>
    <w:rsid w:val="15233C15"/>
    <w:rsid w:val="153656F6"/>
    <w:rsid w:val="18D45952"/>
    <w:rsid w:val="199724DC"/>
    <w:rsid w:val="1AA9448E"/>
    <w:rsid w:val="1E320A25"/>
    <w:rsid w:val="1F9E45C4"/>
    <w:rsid w:val="20592BE1"/>
    <w:rsid w:val="20B006CB"/>
    <w:rsid w:val="21570ECE"/>
    <w:rsid w:val="241237D2"/>
    <w:rsid w:val="24E76937"/>
    <w:rsid w:val="27473793"/>
    <w:rsid w:val="280B47C0"/>
    <w:rsid w:val="2959155B"/>
    <w:rsid w:val="2C9C1E8B"/>
    <w:rsid w:val="350C1C4A"/>
    <w:rsid w:val="35D222B8"/>
    <w:rsid w:val="35DD3670"/>
    <w:rsid w:val="37BE184F"/>
    <w:rsid w:val="39FE4185"/>
    <w:rsid w:val="3BD12B8F"/>
    <w:rsid w:val="3E461712"/>
    <w:rsid w:val="3E94330A"/>
    <w:rsid w:val="3F4A5777"/>
    <w:rsid w:val="3F7E3144"/>
    <w:rsid w:val="40970E8F"/>
    <w:rsid w:val="41727207"/>
    <w:rsid w:val="422E5823"/>
    <w:rsid w:val="43866888"/>
    <w:rsid w:val="43D146B8"/>
    <w:rsid w:val="44F22B38"/>
    <w:rsid w:val="467A1037"/>
    <w:rsid w:val="49E8450A"/>
    <w:rsid w:val="4C6205A3"/>
    <w:rsid w:val="4CF84A64"/>
    <w:rsid w:val="4D4A054E"/>
    <w:rsid w:val="4DD24E01"/>
    <w:rsid w:val="51B80C66"/>
    <w:rsid w:val="51FD16F6"/>
    <w:rsid w:val="51FF183A"/>
    <w:rsid w:val="5415239F"/>
    <w:rsid w:val="56505911"/>
    <w:rsid w:val="566F6A65"/>
    <w:rsid w:val="56F97D56"/>
    <w:rsid w:val="595C6329"/>
    <w:rsid w:val="5A3115B5"/>
    <w:rsid w:val="5A4B3967"/>
    <w:rsid w:val="5A56473E"/>
    <w:rsid w:val="5BC07095"/>
    <w:rsid w:val="5C206C53"/>
    <w:rsid w:val="5D1F603D"/>
    <w:rsid w:val="5DEA03F9"/>
    <w:rsid w:val="5E0E058B"/>
    <w:rsid w:val="5E543AC4"/>
    <w:rsid w:val="5FD924D3"/>
    <w:rsid w:val="60FA4DF7"/>
    <w:rsid w:val="6116639D"/>
    <w:rsid w:val="652B5843"/>
    <w:rsid w:val="660F0314"/>
    <w:rsid w:val="677A62E8"/>
    <w:rsid w:val="67E934CF"/>
    <w:rsid w:val="68C54B2B"/>
    <w:rsid w:val="6AAB7162"/>
    <w:rsid w:val="6D547AC4"/>
    <w:rsid w:val="6F7915DC"/>
    <w:rsid w:val="6FF9096F"/>
    <w:rsid w:val="72916C3D"/>
    <w:rsid w:val="729F75AC"/>
    <w:rsid w:val="72B172DF"/>
    <w:rsid w:val="74382034"/>
    <w:rsid w:val="758962F1"/>
    <w:rsid w:val="76932AE4"/>
    <w:rsid w:val="77664B3C"/>
    <w:rsid w:val="776E39F1"/>
    <w:rsid w:val="77976AA4"/>
    <w:rsid w:val="77A15B74"/>
    <w:rsid w:val="7B971768"/>
    <w:rsid w:val="7CAD76EB"/>
    <w:rsid w:val="7CB749C7"/>
    <w:rsid w:val="7DFB58B2"/>
    <w:rsid w:val="7E096221"/>
    <w:rsid w:val="7EBC7738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0"/>
    <w:autoRedefine/>
    <w:qFormat/>
    <w:uiPriority w:val="0"/>
    <w:pPr>
      <w:spacing w:after="120"/>
    </w:pPr>
    <w:rPr>
      <w:rFonts w:ascii="Calibri" w:hAnsi="Calibri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Char"/>
    <w:basedOn w:val="9"/>
    <w:link w:val="3"/>
    <w:autoRedefine/>
    <w:qFormat/>
    <w:uiPriority w:val="0"/>
    <w:rPr>
      <w:rFonts w:ascii="Calibri" w:hAnsi="Calibri" w:eastAsia="宋体" w:cs="Times New Roman"/>
      <w:szCs w:val="24"/>
    </w:rPr>
  </w:style>
  <w:style w:type="paragraph" w:customStyle="1" w:styleId="11">
    <w:name w:val="Table Paragraph"/>
    <w:basedOn w:val="1"/>
    <w:autoRedefine/>
    <w:qFormat/>
    <w:uiPriority w:val="1"/>
    <w:rPr>
      <w:rFonts w:ascii="宋体" w:hAnsi="宋体" w:cs="宋体"/>
    </w:rPr>
  </w:style>
  <w:style w:type="character" w:customStyle="1" w:styleId="12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link w:val="2"/>
    <w:autoRedefine/>
    <w:qFormat/>
    <w:uiPriority w:val="0"/>
    <w:rPr>
      <w:b/>
      <w:kern w:val="44"/>
      <w:sz w:val="44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3</Pages>
  <Words>1305</Words>
  <Characters>1331</Characters>
  <Lines>62</Lines>
  <Paragraphs>17</Paragraphs>
  <TotalTime>0</TotalTime>
  <ScaleCrop>false</ScaleCrop>
  <LinksUpToDate>false</LinksUpToDate>
  <CharactersWithSpaces>1337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2023-03-17T07:37:00Z</dcterms:created>
  <dc:creator>zjc</dc:creator>
  <cp:lastModifiedBy>朔州市营商环境</cp:lastModifiedBy>
  <cp:lastPrinted>2024-03-05T02:30:00Z</cp:lastPrinted>
  <dcterms:modified xsi:type="dcterms:W3CDTF">2025-03-14T07:08:03Z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22F8A2712AB84FFBBC439631B2ED22C4_12</vt:lpwstr>
  </property>
  <property fmtid="{D5CDD505-2E9C-101B-9397-08002B2CF9AE}" pid="4" name="KSOTemplateDocerSaveRecord">
    <vt:lpwstr>eyJoZGlkIjoiNjk4NjY3ZTg5OTE1YzM4NDBmYTQzYmNhOGE2NWE0MzIiLCJ1c2VySWQiOiIxNTgzODEyNDc5In0=</vt:lpwstr>
  </property>
</Properties>
</file>